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417C" w14:textId="692DB361" w:rsidR="00B14142" w:rsidRPr="00B14142" w:rsidRDefault="00B14142" w:rsidP="009A0A57">
      <w:pPr>
        <w:widowControl w:val="0"/>
        <w:suppressAutoHyphens/>
        <w:autoSpaceDE w:val="0"/>
        <w:autoSpaceDN w:val="0"/>
        <w:adjustRightInd w:val="0"/>
        <w:spacing w:after="360" w:line="240" w:lineRule="auto"/>
        <w:jc w:val="center"/>
        <w:textAlignment w:val="center"/>
        <w:rPr>
          <w:rFonts w:ascii="Arial" w:eastAsia="Cambria" w:hAnsi="Arial" w:cs="Arial"/>
          <w:b/>
          <w:bCs/>
          <w:color w:val="003087"/>
          <w:spacing w:val="-2"/>
          <w:kern w:val="0"/>
          <w:u w:val="single"/>
          <w14:ligatures w14:val="none"/>
        </w:rPr>
      </w:pPr>
      <w:r w:rsidRPr="00B14142">
        <w:rPr>
          <w:rFonts w:ascii="Arial" w:eastAsia="Cambria" w:hAnsi="Arial" w:cs="Georgia"/>
          <w:b/>
          <w:color w:val="003087"/>
          <w:spacing w:val="-2"/>
          <w:kern w:val="0"/>
          <w:sz w:val="56"/>
          <w:szCs w:val="44"/>
          <w14:ligatures w14:val="none"/>
        </w:rPr>
        <w:t>SREB</w:t>
      </w:r>
      <w:r>
        <w:rPr>
          <w:rFonts w:ascii="Arial" w:eastAsia="Cambria" w:hAnsi="Arial" w:cs="Georgia"/>
          <w:b/>
          <w:color w:val="003087"/>
          <w:spacing w:val="-2"/>
          <w:kern w:val="0"/>
          <w:sz w:val="56"/>
          <w:szCs w:val="44"/>
          <w14:ligatures w14:val="none"/>
        </w:rPr>
        <w:t xml:space="preserve"> Doctoral Scholars Program Regional Advisory Committee</w:t>
      </w:r>
    </w:p>
    <w:p w14:paraId="5D6F0DD5" w14:textId="4D73A92B" w:rsidR="00B14142" w:rsidRPr="009A0A57" w:rsidRDefault="00B14142" w:rsidP="00E10117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Cambria" w:hAnsi="Arial" w:cs="Arial-BoldMT"/>
          <w:b/>
          <w:bCs/>
          <w:color w:val="003087"/>
          <w:spacing w:val="-2"/>
          <w:kern w:val="0"/>
          <w:sz w:val="32"/>
          <w14:ligatures w14:val="none"/>
        </w:rPr>
      </w:pPr>
      <w:r w:rsidRPr="009A0A57">
        <w:rPr>
          <w:rFonts w:ascii="Arial" w:eastAsia="Cambria" w:hAnsi="Arial" w:cs="Arial-BoldMT"/>
          <w:b/>
          <w:bCs/>
          <w:color w:val="003087"/>
          <w:spacing w:val="-2"/>
          <w:kern w:val="0"/>
          <w:sz w:val="32"/>
          <w14:ligatures w14:val="none"/>
        </w:rPr>
        <w:t xml:space="preserve">Critical </w:t>
      </w:r>
      <w:r w:rsidR="009A0A57" w:rsidRPr="009A0A57">
        <w:rPr>
          <w:rFonts w:ascii="Arial" w:eastAsia="Cambria" w:hAnsi="Arial" w:cs="Arial-BoldMT"/>
          <w:b/>
          <w:bCs/>
          <w:color w:val="003087"/>
          <w:spacing w:val="-2"/>
          <w:kern w:val="0"/>
          <w:sz w:val="32"/>
          <w14:ligatures w14:val="none"/>
        </w:rPr>
        <w:t>Considerations in the Current Political Climate</w:t>
      </w:r>
    </w:p>
    <w:p w14:paraId="6D279057" w14:textId="0740E9DF" w:rsidR="009A0A57" w:rsidRPr="009A0A57" w:rsidRDefault="009A0A57" w:rsidP="00E10117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Cambria" w:hAnsi="Arial" w:cs="Arial-BoldMT"/>
          <w:b/>
          <w:bCs/>
          <w:color w:val="003087"/>
          <w:spacing w:val="-2"/>
          <w:kern w:val="0"/>
          <w:sz w:val="32"/>
          <w14:ligatures w14:val="none"/>
        </w:rPr>
      </w:pPr>
      <w:r w:rsidRPr="009A0A57">
        <w:rPr>
          <w:rFonts w:ascii="Arial" w:eastAsia="Cambria" w:hAnsi="Arial" w:cs="Arial-BoldMT"/>
          <w:b/>
          <w:bCs/>
          <w:color w:val="003087"/>
          <w:spacing w:val="-2"/>
          <w:kern w:val="0"/>
          <w:sz w:val="32"/>
          <w14:ligatures w14:val="none"/>
        </w:rPr>
        <w:t>Discussion Guide</w:t>
      </w:r>
    </w:p>
    <w:p w14:paraId="0DAB951E" w14:textId="6058B70C" w:rsidR="00B14142" w:rsidRPr="00E10117" w:rsidRDefault="00B14142" w:rsidP="00B14142">
      <w:pPr>
        <w:rPr>
          <w:rFonts w:ascii="Georgia" w:hAnsi="Georgia"/>
        </w:rPr>
      </w:pPr>
      <w:r w:rsidRPr="00E10117">
        <w:rPr>
          <w:rFonts w:ascii="Georgia" w:hAnsi="Georgia"/>
        </w:rPr>
        <w:t>The higher education landscape is experiencing unprecedented shifts affecting doctoral education and research support:</w:t>
      </w:r>
    </w:p>
    <w:p w14:paraId="0A846A9B" w14:textId="77777777" w:rsidR="00B14142" w:rsidRPr="00E10117" w:rsidRDefault="00B14142" w:rsidP="009A0A57">
      <w:pPr>
        <w:numPr>
          <w:ilvl w:val="0"/>
          <w:numId w:val="1"/>
        </w:numPr>
        <w:spacing w:after="0" w:line="276" w:lineRule="auto"/>
        <w:rPr>
          <w:rFonts w:ascii="Georgia" w:hAnsi="Georgia"/>
        </w:rPr>
      </w:pPr>
      <w:r w:rsidRPr="00E10117">
        <w:rPr>
          <w:rFonts w:ascii="Georgia" w:hAnsi="Georgia"/>
        </w:rPr>
        <w:t>Multiple executive orders affecting DEI initiatives and federal funding</w:t>
      </w:r>
    </w:p>
    <w:p w14:paraId="14FA7375" w14:textId="77777777" w:rsidR="00B14142" w:rsidRPr="00E10117" w:rsidRDefault="00B14142" w:rsidP="009A0A57">
      <w:pPr>
        <w:numPr>
          <w:ilvl w:val="0"/>
          <w:numId w:val="1"/>
        </w:numPr>
        <w:spacing w:after="0" w:line="276" w:lineRule="auto"/>
        <w:rPr>
          <w:rFonts w:ascii="Georgia" w:hAnsi="Georgia"/>
        </w:rPr>
      </w:pPr>
      <w:r w:rsidRPr="00E10117">
        <w:rPr>
          <w:rFonts w:ascii="Georgia" w:hAnsi="Georgia"/>
        </w:rPr>
        <w:t>Temporary pause on NSF and NIH grant reviews</w:t>
      </w:r>
    </w:p>
    <w:p w14:paraId="672C1D5A" w14:textId="0272399A" w:rsidR="00B14142" w:rsidRPr="00E10117" w:rsidRDefault="00B14142" w:rsidP="009A0A57">
      <w:pPr>
        <w:numPr>
          <w:ilvl w:val="0"/>
          <w:numId w:val="1"/>
        </w:numPr>
        <w:spacing w:after="0" w:line="276" w:lineRule="auto"/>
        <w:rPr>
          <w:rFonts w:ascii="Georgia" w:hAnsi="Georgia"/>
        </w:rPr>
      </w:pPr>
      <w:r w:rsidRPr="00E10117">
        <w:rPr>
          <w:rFonts w:ascii="Georgia" w:hAnsi="Georgia"/>
        </w:rPr>
        <w:t>Closure of diversity offices at</w:t>
      </w:r>
      <w:r w:rsidR="00E10117" w:rsidRPr="00E10117">
        <w:rPr>
          <w:rFonts w:ascii="Georgia" w:hAnsi="Georgia"/>
        </w:rPr>
        <w:t xml:space="preserve"> postsecondary and</w:t>
      </w:r>
      <w:r w:rsidRPr="00E10117">
        <w:rPr>
          <w:rFonts w:ascii="Georgia" w:hAnsi="Georgia"/>
        </w:rPr>
        <w:t xml:space="preserve"> federal institutions</w:t>
      </w:r>
    </w:p>
    <w:p w14:paraId="226EFB56" w14:textId="4FB1199D" w:rsidR="00B14142" w:rsidRPr="00E10117" w:rsidRDefault="00B14142" w:rsidP="009A0A57">
      <w:pPr>
        <w:numPr>
          <w:ilvl w:val="0"/>
          <w:numId w:val="1"/>
        </w:numPr>
        <w:spacing w:after="0" w:line="276" w:lineRule="auto"/>
        <w:rPr>
          <w:rFonts w:ascii="Georgia" w:hAnsi="Georgia"/>
        </w:rPr>
      </w:pPr>
      <w:r w:rsidRPr="00E10117">
        <w:rPr>
          <w:rFonts w:ascii="Georgia" w:hAnsi="Georgia"/>
        </w:rPr>
        <w:t xml:space="preserve">New restrictions on cultural and diversity-related events at </w:t>
      </w:r>
      <w:r w:rsidR="00E10117" w:rsidRPr="00E10117">
        <w:rPr>
          <w:rFonts w:ascii="Georgia" w:hAnsi="Georgia"/>
        </w:rPr>
        <w:t>institutions</w:t>
      </w:r>
    </w:p>
    <w:p w14:paraId="16ACCC77" w14:textId="77777777" w:rsidR="00B14142" w:rsidRPr="00E10117" w:rsidRDefault="00B14142" w:rsidP="009A0A57">
      <w:pPr>
        <w:numPr>
          <w:ilvl w:val="0"/>
          <w:numId w:val="1"/>
        </w:numPr>
        <w:spacing w:after="0" w:line="276" w:lineRule="auto"/>
        <w:rPr>
          <w:rFonts w:ascii="Georgia" w:hAnsi="Georgia"/>
        </w:rPr>
      </w:pPr>
      <w:r w:rsidRPr="00E10117">
        <w:rPr>
          <w:rFonts w:ascii="Georgia" w:hAnsi="Georgia"/>
        </w:rPr>
        <w:t>Changes to institutional policies and programs across multiple states</w:t>
      </w:r>
    </w:p>
    <w:p w14:paraId="7E2CA9DF" w14:textId="77777777" w:rsidR="00B14142" w:rsidRPr="009A0A57" w:rsidRDefault="00B14142" w:rsidP="009A0A57">
      <w:pPr>
        <w:numPr>
          <w:ilvl w:val="0"/>
          <w:numId w:val="1"/>
        </w:numPr>
        <w:spacing w:after="0" w:line="276" w:lineRule="auto"/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</w:rPr>
        <w:t>Legal challenges to minority-focused academic programs</w:t>
      </w:r>
    </w:p>
    <w:p w14:paraId="127DDC81" w14:textId="78AFB68E" w:rsidR="00B14142" w:rsidRPr="009A0A57" w:rsidRDefault="00B14142" w:rsidP="00E10117">
      <w:pPr>
        <w:spacing w:before="240"/>
        <w:jc w:val="center"/>
        <w:rPr>
          <w:rFonts w:ascii="Georgia" w:hAnsi="Georgia"/>
          <w:b/>
          <w:bCs/>
          <w:sz w:val="28"/>
          <w:szCs w:val="28"/>
        </w:rPr>
      </w:pPr>
      <w:r w:rsidRPr="009A0A57">
        <w:rPr>
          <w:rFonts w:ascii="Georgia" w:hAnsi="Georgia"/>
          <w:b/>
          <w:bCs/>
          <w:sz w:val="28"/>
          <w:szCs w:val="28"/>
        </w:rPr>
        <w:t>Priority Discussion Areas</w:t>
      </w:r>
    </w:p>
    <w:p w14:paraId="01810A86" w14:textId="77777777" w:rsidR="00B14142" w:rsidRPr="00E10117" w:rsidRDefault="00B14142" w:rsidP="00B14142">
      <w:pPr>
        <w:rPr>
          <w:rFonts w:ascii="Georgia" w:hAnsi="Georgia"/>
          <w:b/>
          <w:bCs/>
        </w:rPr>
      </w:pPr>
      <w:r w:rsidRPr="00E10117">
        <w:rPr>
          <w:rFonts w:ascii="Georgia" w:hAnsi="Georgia"/>
          <w:b/>
          <w:bCs/>
        </w:rPr>
        <w:t>1. Immediate Scholar Support &amp; Protection</w:t>
      </w:r>
    </w:p>
    <w:p w14:paraId="4E7D58FF" w14:textId="77777777" w:rsidR="00B14142" w:rsidRPr="00E10117" w:rsidRDefault="00B14142" w:rsidP="00B14142">
      <w:pPr>
        <w:numPr>
          <w:ilvl w:val="0"/>
          <w:numId w:val="2"/>
        </w:numPr>
        <w:rPr>
          <w:rFonts w:ascii="Georgia Pro Semibold" w:hAnsi="Georgia Pro Semibold"/>
          <w:i/>
          <w:iCs/>
          <w:sz w:val="22"/>
          <w:szCs w:val="22"/>
        </w:rPr>
      </w:pPr>
      <w:r w:rsidRPr="00E10117">
        <w:rPr>
          <w:rFonts w:ascii="Georgia Pro Semibold" w:hAnsi="Georgia Pro Semibold"/>
          <w:i/>
          <w:iCs/>
          <w:sz w:val="22"/>
          <w:szCs w:val="22"/>
        </w:rPr>
        <w:t>What immediate measures can be implemented to protect currently funded scholars?</w:t>
      </w:r>
    </w:p>
    <w:p w14:paraId="39CC0FD2" w14:textId="3116CD0C" w:rsidR="00B14142" w:rsidRPr="00E10117" w:rsidRDefault="00B14142" w:rsidP="00B14142">
      <w:pPr>
        <w:numPr>
          <w:ilvl w:val="0"/>
          <w:numId w:val="2"/>
        </w:numPr>
        <w:rPr>
          <w:rFonts w:ascii="Georgia Pro Semibold" w:hAnsi="Georgia Pro Semibold"/>
          <w:i/>
          <w:iCs/>
          <w:sz w:val="22"/>
          <w:szCs w:val="22"/>
        </w:rPr>
      </w:pPr>
      <w:r w:rsidRPr="00E10117">
        <w:rPr>
          <w:rFonts w:ascii="Georgia Pro Semibold" w:hAnsi="Georgia Pro Semibold"/>
          <w:i/>
          <w:iCs/>
          <w:sz w:val="22"/>
          <w:szCs w:val="22"/>
        </w:rPr>
        <w:t xml:space="preserve">How do we ensure continuity of support for scholars with </w:t>
      </w:r>
      <w:r w:rsidR="009A0A57" w:rsidRPr="00E10117">
        <w:rPr>
          <w:rFonts w:ascii="Georgia Pro Semibold" w:hAnsi="Georgia Pro Semibold"/>
          <w:i/>
          <w:iCs/>
          <w:sz w:val="22"/>
          <w:szCs w:val="22"/>
        </w:rPr>
        <w:t>federal</w:t>
      </w:r>
      <w:r w:rsidRPr="00E10117">
        <w:rPr>
          <w:rFonts w:ascii="Georgia Pro Semibold" w:hAnsi="Georgia Pro Semibold"/>
          <w:i/>
          <w:iCs/>
          <w:sz w:val="22"/>
          <w:szCs w:val="22"/>
        </w:rPr>
        <w:t xml:space="preserve"> funding?</w:t>
      </w:r>
    </w:p>
    <w:p w14:paraId="6487C0C8" w14:textId="77777777" w:rsidR="00B14142" w:rsidRPr="00E10117" w:rsidRDefault="00B14142" w:rsidP="00B14142">
      <w:pPr>
        <w:numPr>
          <w:ilvl w:val="0"/>
          <w:numId w:val="2"/>
        </w:numPr>
        <w:rPr>
          <w:rFonts w:ascii="Georgia Pro Semibold" w:hAnsi="Georgia Pro Semibold"/>
          <w:i/>
          <w:iCs/>
          <w:sz w:val="22"/>
          <w:szCs w:val="22"/>
        </w:rPr>
      </w:pPr>
      <w:r w:rsidRPr="00E10117">
        <w:rPr>
          <w:rFonts w:ascii="Georgia Pro Semibold" w:hAnsi="Georgia Pro Semibold"/>
          <w:i/>
          <w:iCs/>
          <w:sz w:val="22"/>
          <w:szCs w:val="22"/>
        </w:rPr>
        <w:t>What institutional resources can be mobilized to bridge potential funding gaps?</w:t>
      </w:r>
    </w:p>
    <w:p w14:paraId="46FB9C29" w14:textId="77777777" w:rsidR="00B14142" w:rsidRPr="00E10117" w:rsidRDefault="00B14142" w:rsidP="00B14142">
      <w:pPr>
        <w:numPr>
          <w:ilvl w:val="0"/>
          <w:numId w:val="2"/>
        </w:numPr>
        <w:rPr>
          <w:rFonts w:ascii="Georgia Pro Semibold" w:hAnsi="Georgia Pro Semibold"/>
          <w:i/>
          <w:iCs/>
          <w:sz w:val="22"/>
          <w:szCs w:val="22"/>
        </w:rPr>
      </w:pPr>
      <w:r w:rsidRPr="00E10117">
        <w:rPr>
          <w:rFonts w:ascii="Georgia Pro Semibold" w:hAnsi="Georgia Pro Semibold"/>
          <w:i/>
          <w:iCs/>
          <w:sz w:val="22"/>
          <w:szCs w:val="22"/>
        </w:rPr>
        <w:t>How can we support international scholars affected by new federal policies?</w:t>
      </w:r>
    </w:p>
    <w:p w14:paraId="3DA2B320" w14:textId="77777777" w:rsidR="00B14142" w:rsidRPr="00E10117" w:rsidRDefault="00B14142" w:rsidP="00B14142">
      <w:pPr>
        <w:rPr>
          <w:rFonts w:ascii="Georgia" w:hAnsi="Georgia"/>
          <w:b/>
          <w:bCs/>
        </w:rPr>
      </w:pPr>
      <w:r w:rsidRPr="00E10117">
        <w:rPr>
          <w:rFonts w:ascii="Georgia" w:hAnsi="Georgia"/>
          <w:b/>
          <w:bCs/>
        </w:rPr>
        <w:t>2. Program Sustainability</w:t>
      </w:r>
    </w:p>
    <w:p w14:paraId="460063DE" w14:textId="77777777" w:rsidR="009A0A57" w:rsidRPr="00E10117" w:rsidRDefault="009A0A57" w:rsidP="009A0A57">
      <w:pPr>
        <w:numPr>
          <w:ilvl w:val="0"/>
          <w:numId w:val="3"/>
        </w:numPr>
        <w:rPr>
          <w:rFonts w:ascii="Georgia Pro Semibold" w:hAnsi="Georgia Pro Semibold"/>
          <w:i/>
          <w:iCs/>
          <w:sz w:val="22"/>
          <w:szCs w:val="22"/>
        </w:rPr>
      </w:pPr>
      <w:r w:rsidRPr="00E10117">
        <w:rPr>
          <w:rFonts w:ascii="Georgia Pro Semibold" w:hAnsi="Georgia Pro Semibold"/>
          <w:i/>
          <w:iCs/>
          <w:sz w:val="22"/>
          <w:szCs w:val="22"/>
        </w:rPr>
        <w:t>How can institutional partnerships be strengthened to ensure program continuity?</w:t>
      </w:r>
    </w:p>
    <w:p w14:paraId="25BEB17C" w14:textId="77777777" w:rsidR="00B14142" w:rsidRPr="00E10117" w:rsidRDefault="00B14142" w:rsidP="00B14142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What modifications to program structure might be necessary while maintaining core mission?</w:t>
      </w:r>
    </w:p>
    <w:p w14:paraId="1FABBA3D" w14:textId="77777777" w:rsidR="00B14142" w:rsidRPr="00E10117" w:rsidRDefault="00B14142" w:rsidP="00B14142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How can we diversify funding sources beyond federal grants?</w:t>
      </w:r>
    </w:p>
    <w:p w14:paraId="1A1487FC" w14:textId="77777777" w:rsidR="00B14142" w:rsidRPr="00E10117" w:rsidRDefault="00B14142" w:rsidP="00B14142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What state-level funding mechanisms could be developed or expanded?</w:t>
      </w:r>
    </w:p>
    <w:p w14:paraId="56DB5A92" w14:textId="243F81FC" w:rsidR="00B14142" w:rsidRPr="00E10117" w:rsidRDefault="00B14142" w:rsidP="00B14142">
      <w:pPr>
        <w:rPr>
          <w:rFonts w:ascii="Georgia" w:hAnsi="Georgia"/>
          <w:b/>
          <w:bCs/>
        </w:rPr>
      </w:pPr>
      <w:r w:rsidRPr="00E10117">
        <w:rPr>
          <w:rFonts w:ascii="Georgia" w:hAnsi="Georgia"/>
          <w:b/>
          <w:bCs/>
        </w:rPr>
        <w:t>3. Legal</w:t>
      </w:r>
      <w:r w:rsidR="009A0A57" w:rsidRPr="00E10117">
        <w:rPr>
          <w:rFonts w:ascii="Georgia" w:hAnsi="Georgia"/>
          <w:b/>
          <w:bCs/>
        </w:rPr>
        <w:t xml:space="preserve">, Strategic </w:t>
      </w:r>
      <w:r w:rsidRPr="00E10117">
        <w:rPr>
          <w:rFonts w:ascii="Georgia" w:hAnsi="Georgia"/>
          <w:b/>
          <w:bCs/>
        </w:rPr>
        <w:t>and Compliance Framework</w:t>
      </w:r>
    </w:p>
    <w:p w14:paraId="382E85E8" w14:textId="45FBBD43" w:rsidR="00B14142" w:rsidRPr="00E10117" w:rsidRDefault="00B14142" w:rsidP="00B14142">
      <w:pPr>
        <w:numPr>
          <w:ilvl w:val="0"/>
          <w:numId w:val="4"/>
        </w:numPr>
        <w:rPr>
          <w:rFonts w:ascii="Georgia Pro Semibold" w:hAnsi="Georgia Pro Semibold"/>
          <w:b/>
          <w:bCs/>
          <w:i/>
          <w:iCs/>
          <w:sz w:val="22"/>
          <w:szCs w:val="22"/>
        </w:rPr>
      </w:pPr>
      <w:r w:rsidRPr="00E10117">
        <w:rPr>
          <w:rFonts w:ascii="Georgia Pro Semibold" w:hAnsi="Georgia Pro Semibold"/>
          <w:b/>
          <w:bCs/>
          <w:i/>
          <w:iCs/>
          <w:sz w:val="22"/>
          <w:szCs w:val="22"/>
        </w:rPr>
        <w:t xml:space="preserve">What is our current </w:t>
      </w:r>
      <w:r w:rsidR="009A0A57" w:rsidRPr="00E10117">
        <w:rPr>
          <w:rFonts w:ascii="Georgia Pro Semibold" w:hAnsi="Georgia Pro Semibold"/>
          <w:b/>
          <w:bCs/>
          <w:i/>
          <w:iCs/>
          <w:sz w:val="22"/>
          <w:szCs w:val="22"/>
        </w:rPr>
        <w:t>strategic</w:t>
      </w:r>
      <w:r w:rsidRPr="00E10117">
        <w:rPr>
          <w:rFonts w:ascii="Georgia Pro Semibold" w:hAnsi="Georgia Pro Semibold"/>
          <w:b/>
          <w:bCs/>
          <w:i/>
          <w:iCs/>
          <w:sz w:val="22"/>
          <w:szCs w:val="22"/>
        </w:rPr>
        <w:t xml:space="preserve"> position regarding new federal guidelines?</w:t>
      </w:r>
    </w:p>
    <w:p w14:paraId="6BD3DA37" w14:textId="77777777" w:rsidR="00B14142" w:rsidRPr="00E10117" w:rsidRDefault="00B14142" w:rsidP="00B14142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How do state-specific regulations interact with federal changes?</w:t>
      </w:r>
    </w:p>
    <w:p w14:paraId="39674E04" w14:textId="77777777" w:rsidR="00B14142" w:rsidRPr="00E10117" w:rsidRDefault="00B14142" w:rsidP="00B14142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lastRenderedPageBreak/>
        <w:t>What proactive measures should be taken to ensure compliance while protecting scholars?</w:t>
      </w:r>
    </w:p>
    <w:p w14:paraId="4B28C7CB" w14:textId="77777777" w:rsidR="00B14142" w:rsidRPr="00E10117" w:rsidRDefault="00B14142" w:rsidP="00B14142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How can we maintain program integrity within new regulatory constraints?</w:t>
      </w:r>
    </w:p>
    <w:p w14:paraId="76859680" w14:textId="77777777" w:rsidR="00B14142" w:rsidRPr="00E10117" w:rsidRDefault="00B14142" w:rsidP="00B14142">
      <w:pPr>
        <w:rPr>
          <w:rFonts w:ascii="Georgia" w:hAnsi="Georgia"/>
          <w:b/>
          <w:bCs/>
        </w:rPr>
      </w:pPr>
      <w:r w:rsidRPr="00E10117">
        <w:rPr>
          <w:rFonts w:ascii="Georgia" w:hAnsi="Georgia"/>
          <w:b/>
          <w:bCs/>
        </w:rPr>
        <w:t>4. Research Continuity</w:t>
      </w:r>
    </w:p>
    <w:p w14:paraId="7DEBB1F2" w14:textId="77777777" w:rsidR="00B14142" w:rsidRPr="00E10117" w:rsidRDefault="00B14142" w:rsidP="00B14142">
      <w:pPr>
        <w:numPr>
          <w:ilvl w:val="0"/>
          <w:numId w:val="5"/>
        </w:numPr>
        <w:rPr>
          <w:rFonts w:ascii="Georgia Pro Semibold" w:hAnsi="Georgia Pro Semibold"/>
          <w:b/>
          <w:bCs/>
          <w:i/>
          <w:iCs/>
          <w:sz w:val="22"/>
          <w:szCs w:val="22"/>
        </w:rPr>
      </w:pPr>
      <w:r w:rsidRPr="00E10117">
        <w:rPr>
          <w:rFonts w:ascii="Georgia Pro Semibold" w:hAnsi="Georgia Pro Semibold"/>
          <w:b/>
          <w:bCs/>
          <w:i/>
          <w:iCs/>
          <w:sz w:val="22"/>
          <w:szCs w:val="22"/>
        </w:rPr>
        <w:t>How do we support scholars whose research areas may be affected by new policies?</w:t>
      </w:r>
    </w:p>
    <w:p w14:paraId="56167E15" w14:textId="77777777" w:rsidR="00B14142" w:rsidRPr="00E10117" w:rsidRDefault="00B14142" w:rsidP="00B14142">
      <w:pPr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What guidance should be provided regarding grant applications and funding?</w:t>
      </w:r>
    </w:p>
    <w:p w14:paraId="37EFDE7F" w14:textId="77777777" w:rsidR="00B14142" w:rsidRPr="00E10117" w:rsidRDefault="00B14142" w:rsidP="00B14142">
      <w:pPr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How can we protect academic freedom while ensuring compliance?</w:t>
      </w:r>
    </w:p>
    <w:p w14:paraId="08377313" w14:textId="77777777" w:rsidR="00B14142" w:rsidRPr="00E10117" w:rsidRDefault="00B14142" w:rsidP="00B14142">
      <w:pPr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What alternative funding sources exist for affected research areas?</w:t>
      </w:r>
    </w:p>
    <w:p w14:paraId="52465793" w14:textId="77777777" w:rsidR="00B14142" w:rsidRPr="00E10117" w:rsidRDefault="00B14142" w:rsidP="00B14142">
      <w:pPr>
        <w:rPr>
          <w:rFonts w:ascii="Georgia" w:hAnsi="Georgia"/>
          <w:b/>
          <w:bCs/>
        </w:rPr>
      </w:pPr>
      <w:r w:rsidRPr="00E10117">
        <w:rPr>
          <w:rFonts w:ascii="Georgia" w:hAnsi="Georgia"/>
          <w:b/>
          <w:bCs/>
        </w:rPr>
        <w:t>5. State-Level Response Strategies</w:t>
      </w:r>
    </w:p>
    <w:p w14:paraId="6F9A7AAA" w14:textId="77777777" w:rsidR="00B14142" w:rsidRPr="00E10117" w:rsidRDefault="00B14142" w:rsidP="00B14142">
      <w:pPr>
        <w:numPr>
          <w:ilvl w:val="0"/>
          <w:numId w:val="6"/>
        </w:numPr>
        <w:rPr>
          <w:rFonts w:ascii="Georgia Pro Semibold" w:hAnsi="Georgia Pro Semibold"/>
          <w:b/>
          <w:bCs/>
          <w:i/>
          <w:iCs/>
          <w:sz w:val="22"/>
          <w:szCs w:val="22"/>
        </w:rPr>
      </w:pPr>
      <w:r w:rsidRPr="00E10117">
        <w:rPr>
          <w:rFonts w:ascii="Georgia Pro Semibold" w:hAnsi="Georgia Pro Semibold"/>
          <w:b/>
          <w:bCs/>
          <w:i/>
          <w:iCs/>
          <w:sz w:val="22"/>
          <w:szCs w:val="22"/>
        </w:rPr>
        <w:t>How are different SREB states interpreting and implementing federal guidelines?</w:t>
      </w:r>
    </w:p>
    <w:p w14:paraId="1460CAEA" w14:textId="77777777" w:rsidR="00B14142" w:rsidRPr="00E10117" w:rsidRDefault="00B14142" w:rsidP="00B14142">
      <w:pPr>
        <w:numPr>
          <w:ilvl w:val="0"/>
          <w:numId w:val="6"/>
        </w:numPr>
        <w:rPr>
          <w:rFonts w:ascii="Georgia Pro Semibold" w:hAnsi="Georgia Pro Semibold"/>
          <w:b/>
          <w:bCs/>
          <w:i/>
          <w:iCs/>
          <w:sz w:val="22"/>
          <w:szCs w:val="22"/>
        </w:rPr>
      </w:pPr>
      <w:r w:rsidRPr="00E10117">
        <w:rPr>
          <w:rFonts w:ascii="Georgia Pro Semibold" w:hAnsi="Georgia Pro Semibold"/>
          <w:b/>
          <w:bCs/>
          <w:i/>
          <w:iCs/>
          <w:sz w:val="22"/>
          <w:szCs w:val="22"/>
        </w:rPr>
        <w:t>What state-specific protections or challenges exist?</w:t>
      </w:r>
    </w:p>
    <w:p w14:paraId="60552FEC" w14:textId="77777777" w:rsidR="00B14142" w:rsidRPr="00E10117" w:rsidRDefault="00B14142" w:rsidP="00B14142">
      <w:pPr>
        <w:numPr>
          <w:ilvl w:val="0"/>
          <w:numId w:val="6"/>
        </w:numPr>
        <w:rPr>
          <w:rFonts w:ascii="Georgia Pro Semibold" w:hAnsi="Georgia Pro Semibold"/>
          <w:b/>
          <w:bCs/>
          <w:i/>
          <w:iCs/>
          <w:sz w:val="22"/>
          <w:szCs w:val="22"/>
        </w:rPr>
      </w:pPr>
      <w:r w:rsidRPr="00E10117">
        <w:rPr>
          <w:rFonts w:ascii="Georgia Pro Semibold" w:hAnsi="Georgia Pro Semibold"/>
          <w:b/>
          <w:bCs/>
          <w:i/>
          <w:iCs/>
          <w:sz w:val="22"/>
          <w:szCs w:val="22"/>
        </w:rPr>
        <w:t>How can states collaborate to protect scholar interests?</w:t>
      </w:r>
    </w:p>
    <w:p w14:paraId="3F1C646D" w14:textId="77777777" w:rsidR="00B14142" w:rsidRPr="00E10117" w:rsidRDefault="00B14142" w:rsidP="00B14142">
      <w:pPr>
        <w:numPr>
          <w:ilvl w:val="0"/>
          <w:numId w:val="6"/>
        </w:numPr>
        <w:rPr>
          <w:rFonts w:ascii="Georgia Pro Semibold" w:hAnsi="Georgia Pro Semibold"/>
          <w:b/>
          <w:bCs/>
          <w:i/>
          <w:iCs/>
          <w:sz w:val="22"/>
          <w:szCs w:val="22"/>
        </w:rPr>
      </w:pPr>
      <w:r w:rsidRPr="00E10117">
        <w:rPr>
          <w:rFonts w:ascii="Georgia Pro Semibold" w:hAnsi="Georgia Pro Semibold"/>
          <w:b/>
          <w:bCs/>
          <w:i/>
          <w:iCs/>
          <w:sz w:val="22"/>
          <w:szCs w:val="22"/>
        </w:rPr>
        <w:t>What role can state higher education agencies play?</w:t>
      </w:r>
    </w:p>
    <w:p w14:paraId="3F456E75" w14:textId="77777777" w:rsidR="00B14142" w:rsidRPr="00E10117" w:rsidRDefault="00B14142" w:rsidP="00B14142">
      <w:pPr>
        <w:rPr>
          <w:rFonts w:ascii="Georgia" w:hAnsi="Georgia"/>
          <w:b/>
          <w:bCs/>
        </w:rPr>
      </w:pPr>
      <w:r w:rsidRPr="00E10117">
        <w:rPr>
          <w:rFonts w:ascii="Georgia" w:hAnsi="Georgia"/>
          <w:b/>
          <w:bCs/>
        </w:rPr>
        <w:t>6. Institutional Support Networks</w:t>
      </w:r>
    </w:p>
    <w:p w14:paraId="65AB5592" w14:textId="77777777" w:rsidR="00B14142" w:rsidRPr="00E10117" w:rsidRDefault="00B14142" w:rsidP="00B14142">
      <w:pPr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How can partner institutions maintain support under new constraints?</w:t>
      </w:r>
    </w:p>
    <w:p w14:paraId="78FE9E6C" w14:textId="77777777" w:rsidR="00B14142" w:rsidRPr="00E10117" w:rsidRDefault="00B14142" w:rsidP="00B14142">
      <w:pPr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What institutional policies need review or modification?</w:t>
      </w:r>
    </w:p>
    <w:p w14:paraId="5B109403" w14:textId="77777777" w:rsidR="00B14142" w:rsidRPr="00E10117" w:rsidRDefault="00B14142" w:rsidP="00B14142">
      <w:pPr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How can institutions collaborate to create safety nets for scholars?</w:t>
      </w:r>
    </w:p>
    <w:p w14:paraId="260B1DD2" w14:textId="77777777" w:rsidR="00B14142" w:rsidRPr="00E10117" w:rsidRDefault="00B14142" w:rsidP="00B14142">
      <w:pPr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E10117">
        <w:rPr>
          <w:rFonts w:ascii="Georgia" w:hAnsi="Georgia"/>
          <w:sz w:val="22"/>
          <w:szCs w:val="22"/>
        </w:rPr>
        <w:t>What alternative support mechanisms can be developed?</w:t>
      </w:r>
    </w:p>
    <w:p w14:paraId="1383B5E4" w14:textId="59A7FADB" w:rsidR="00B14142" w:rsidRPr="00E10117" w:rsidRDefault="00B14142" w:rsidP="00E10117">
      <w:pPr>
        <w:tabs>
          <w:tab w:val="left" w:pos="7452"/>
        </w:tabs>
        <w:rPr>
          <w:rFonts w:ascii="Georgia" w:hAnsi="Georgia"/>
          <w:b/>
          <w:bCs/>
        </w:rPr>
      </w:pPr>
      <w:r w:rsidRPr="00E10117">
        <w:rPr>
          <w:rFonts w:ascii="Georgia" w:hAnsi="Georgia"/>
          <w:b/>
          <w:bCs/>
        </w:rPr>
        <w:t>7. Strategic Communication</w:t>
      </w:r>
      <w:r w:rsidR="00E10117" w:rsidRPr="00E10117">
        <w:rPr>
          <w:rFonts w:ascii="Georgia" w:hAnsi="Georgia"/>
          <w:b/>
          <w:bCs/>
        </w:rPr>
        <w:tab/>
      </w:r>
    </w:p>
    <w:p w14:paraId="37AD1067" w14:textId="77777777" w:rsidR="00E10117" w:rsidRPr="00637BB2" w:rsidRDefault="00E10117" w:rsidP="00E10117">
      <w:pPr>
        <w:numPr>
          <w:ilvl w:val="0"/>
          <w:numId w:val="8"/>
        </w:numPr>
        <w:rPr>
          <w:rFonts w:ascii="Georgia Pro Semibold" w:hAnsi="Georgia Pro Semibold"/>
          <w:i/>
          <w:iCs/>
          <w:sz w:val="22"/>
          <w:szCs w:val="22"/>
        </w:rPr>
      </w:pPr>
      <w:r w:rsidRPr="00637BB2">
        <w:rPr>
          <w:rFonts w:ascii="Georgia Pro Semibold" w:hAnsi="Georgia Pro Semibold"/>
          <w:i/>
          <w:iCs/>
          <w:sz w:val="22"/>
          <w:szCs w:val="22"/>
        </w:rPr>
        <w:t>What messaging best addresses scholar concerns while maintaining confidence?</w:t>
      </w:r>
    </w:p>
    <w:p w14:paraId="3EE5B2EF" w14:textId="77777777" w:rsidR="00B14142" w:rsidRPr="00637BB2" w:rsidRDefault="00B14142" w:rsidP="00B14142">
      <w:pPr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637BB2">
        <w:rPr>
          <w:rFonts w:ascii="Georgia" w:hAnsi="Georgia"/>
          <w:sz w:val="22"/>
          <w:szCs w:val="22"/>
        </w:rPr>
        <w:t>How do we communicate program changes to stakeholders?</w:t>
      </w:r>
    </w:p>
    <w:p w14:paraId="7BFD9677" w14:textId="77777777" w:rsidR="00B14142" w:rsidRPr="00637BB2" w:rsidRDefault="00B14142" w:rsidP="00B14142">
      <w:pPr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637BB2">
        <w:rPr>
          <w:rFonts w:ascii="Georgia" w:hAnsi="Georgia"/>
          <w:sz w:val="22"/>
          <w:szCs w:val="22"/>
        </w:rPr>
        <w:t xml:space="preserve">How should we engage </w:t>
      </w:r>
      <w:proofErr w:type="gramStart"/>
      <w:r w:rsidRPr="00637BB2">
        <w:rPr>
          <w:rFonts w:ascii="Georgia" w:hAnsi="Georgia"/>
          <w:sz w:val="22"/>
          <w:szCs w:val="22"/>
        </w:rPr>
        <w:t>with</w:t>
      </w:r>
      <w:proofErr w:type="gramEnd"/>
      <w:r w:rsidRPr="00637BB2">
        <w:rPr>
          <w:rFonts w:ascii="Georgia" w:hAnsi="Georgia"/>
          <w:sz w:val="22"/>
          <w:szCs w:val="22"/>
        </w:rPr>
        <w:t xml:space="preserve"> institutional and state leadership?</w:t>
      </w:r>
    </w:p>
    <w:p w14:paraId="14B4B949" w14:textId="79D84225" w:rsidR="00B14142" w:rsidRPr="00B14142" w:rsidRDefault="00B14142" w:rsidP="00B14142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80" w:line="288" w:lineRule="auto"/>
        <w:textAlignment w:val="center"/>
        <w:rPr>
          <w:rFonts w:ascii="Arial" w:eastAsia="Cambria" w:hAnsi="Arial" w:cs="Arial-BoldMT"/>
          <w:b/>
          <w:bCs/>
          <w:color w:val="003087"/>
          <w:spacing w:val="-2"/>
          <w:kern w:val="0"/>
          <w:sz w:val="22"/>
          <w:szCs w:val="18"/>
          <w14:ligatures w14:val="none"/>
        </w:rPr>
      </w:pPr>
      <w:r w:rsidRPr="00637BB2">
        <w:rPr>
          <w:rFonts w:ascii="Georgia" w:hAnsi="Georgia"/>
          <w:sz w:val="22"/>
          <w:szCs w:val="22"/>
        </w:rPr>
        <w:t>What public advocacy role, if any, should the program take?</w:t>
      </w:r>
    </w:p>
    <w:sectPr w:rsidR="00B14142" w:rsidRPr="00B14142" w:rsidSect="00B14142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907" w:right="1440" w:bottom="2160" w:left="180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FB14" w14:textId="77777777" w:rsidR="00B14142" w:rsidRDefault="00B14142" w:rsidP="00B14142">
      <w:pPr>
        <w:spacing w:after="0" w:line="240" w:lineRule="auto"/>
      </w:pPr>
      <w:r>
        <w:separator/>
      </w:r>
    </w:p>
  </w:endnote>
  <w:endnote w:type="continuationSeparator" w:id="0">
    <w:p w14:paraId="529EF417" w14:textId="77777777" w:rsidR="00B14142" w:rsidRDefault="00B14142" w:rsidP="00B1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EFD0" w14:textId="77777777" w:rsidR="00637BB2" w:rsidRDefault="00637BB2" w:rsidP="00523A3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9D5C7" w14:textId="77777777" w:rsidR="00637BB2" w:rsidRDefault="00637BB2" w:rsidP="00523A32"/>
  <w:p w14:paraId="7CEB1D9D" w14:textId="77777777" w:rsidR="00637BB2" w:rsidRDefault="00637BB2"/>
  <w:p w14:paraId="62DC0692" w14:textId="77777777" w:rsidR="00637BB2" w:rsidRDefault="00637BB2"/>
  <w:p w14:paraId="2DF4F6AB" w14:textId="77777777" w:rsidR="00637BB2" w:rsidRDefault="00637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3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3C14A" w14:textId="09352C86" w:rsidR="00637BB2" w:rsidRDefault="00637BB2">
        <w:pPr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D972321" wp14:editId="5A2B98E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29622</wp:posOffset>
                  </wp:positionV>
                  <wp:extent cx="5669280" cy="23495"/>
                  <wp:effectExtent l="38100" t="38100" r="64770" b="90805"/>
                  <wp:wrapNone/>
                  <wp:docPr id="10" name="Straight Connector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9280" cy="234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3087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79701F4" id="Straight Connector 10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2.35pt" to="449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" strokecolor="#003087">
                  <v:shadow on="t" color="black" opacity="24903f" origin=",.5" offset="0,.55556mm"/>
                </v:line>
              </w:pict>
            </mc:Fallback>
          </mc:AlternateContent>
        </w:r>
      </w:p>
      <w:p w14:paraId="378AE02B" w14:textId="0ECF642E" w:rsidR="00637BB2" w:rsidRPr="00E10117" w:rsidRDefault="00E10117">
        <w:pPr>
          <w:jc w:val="right"/>
        </w:pPr>
        <w:r w:rsidRPr="00E10117">
          <w:rPr>
            <w:rStyle w:val="PageNumber"/>
          </w:rPr>
          <w:t>Critical Considerations in the Current Political Climate</w:t>
        </w:r>
        <w:r w:rsidR="00637BB2" w:rsidRPr="00E10117">
          <w:rPr>
            <w:rStyle w:val="PageNumber"/>
          </w:rPr>
          <w:t xml:space="preserve">|  </w:t>
        </w:r>
        <w:r w:rsidR="00637BB2" w:rsidRPr="00E10117">
          <w:rPr>
            <w:rStyle w:val="PageNumber"/>
          </w:rPr>
          <w:t>SREB.org</w:t>
        </w:r>
        <w:r w:rsidR="00637BB2" w:rsidRPr="00E10117">
          <w:rPr>
            <w:rStyle w:val="PageNumber"/>
          </w:rPr>
          <w:t xml:space="preserve">  |  </w:t>
        </w:r>
        <w:r w:rsidR="00637BB2" w:rsidRPr="00E10117">
          <w:t xml:space="preserve">Page </w:t>
        </w:r>
        <w:r w:rsidR="00637BB2" w:rsidRPr="00DA1B6B">
          <w:fldChar w:fldCharType="begin"/>
        </w:r>
        <w:r w:rsidR="00637BB2" w:rsidRPr="00E10117">
          <w:instrText xml:space="preserve"> PAGE   \* MERGEFORMAT </w:instrText>
        </w:r>
        <w:r w:rsidR="00637BB2" w:rsidRPr="00DA1B6B">
          <w:fldChar w:fldCharType="separate"/>
        </w:r>
        <w:r w:rsidR="00637BB2" w:rsidRPr="00E10117">
          <w:rPr>
            <w:noProof/>
          </w:rPr>
          <w:t>2</w:t>
        </w:r>
        <w:r w:rsidR="00637BB2" w:rsidRPr="00DA1B6B">
          <w:rPr>
            <w:noProof/>
          </w:rPr>
          <w:fldChar w:fldCharType="end"/>
        </w:r>
      </w:p>
    </w:sdtContent>
  </w:sdt>
  <w:p w14:paraId="74D4C87D" w14:textId="77777777" w:rsidR="00637BB2" w:rsidRDefault="00637BB2" w:rsidP="00E101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5167" w14:textId="77777777" w:rsidR="00637BB2" w:rsidRDefault="00637BB2" w:rsidP="004725F4">
    <w:pPr>
      <w:pStyle w:val="Callouttext"/>
      <w:ind w:left="0"/>
    </w:pPr>
    <w:r w:rsidRPr="00B631B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6CAAF" wp14:editId="14EA8ED1">
              <wp:simplePos x="0" y="0"/>
              <wp:positionH relativeFrom="column">
                <wp:posOffset>4165600</wp:posOffset>
              </wp:positionH>
              <wp:positionV relativeFrom="paragraph">
                <wp:posOffset>-358140</wp:posOffset>
              </wp:positionV>
              <wp:extent cx="1828800" cy="250190"/>
              <wp:effectExtent l="0" t="0" r="0" b="16510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F4EF8" w14:textId="11329AF0" w:rsidR="00637BB2" w:rsidRPr="00D21D96" w:rsidRDefault="00637BB2" w:rsidP="00523A32">
                          <w:pPr>
                            <w:rPr>
                              <w:rStyle w:val="Heading3Char"/>
                              <w:sz w:val="24"/>
                              <w:szCs w:val="24"/>
                            </w:rPr>
                          </w:pPr>
                          <w:r w:rsidRPr="00D21D96">
                            <w:rPr>
                              <w:rStyle w:val="Heading3Char"/>
                              <w:sz w:val="24"/>
                              <w:szCs w:val="24"/>
                            </w:rPr>
                            <w:t xml:space="preserve">SREB.org  |  </w:t>
                          </w:r>
                          <w:r w:rsidR="00B14142">
                            <w:rPr>
                              <w:rStyle w:val="Heading3Char"/>
                              <w:sz w:val="24"/>
                              <w:szCs w:val="24"/>
                            </w:rPr>
                            <w:t>February</w:t>
                          </w:r>
                          <w:r w:rsidRPr="00D21D96">
                            <w:rPr>
                              <w:rStyle w:val="Heading3Char"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B14142">
                            <w:rPr>
                              <w:rStyle w:val="Heading3Char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72D58324" w14:textId="77777777" w:rsidR="00637BB2" w:rsidRDefault="00637BB2" w:rsidP="00523A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6CA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328pt;margin-top:-28.2pt;width:2in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" filled="f" stroked="f">
              <v:textbox inset="0,0,0,0">
                <w:txbxContent>
                  <w:p w14:paraId="768F4EF8" w14:textId="11329AF0" w:rsidR="00637BB2" w:rsidRPr="00D21D96" w:rsidRDefault="00637BB2" w:rsidP="00523A32">
                    <w:pPr>
                      <w:rPr>
                        <w:rStyle w:val="Heading3Char"/>
                        <w:sz w:val="24"/>
                        <w:szCs w:val="24"/>
                      </w:rPr>
                    </w:pPr>
                    <w:r w:rsidRPr="00D21D96">
                      <w:rPr>
                        <w:rStyle w:val="Heading3Char"/>
                        <w:sz w:val="24"/>
                        <w:szCs w:val="24"/>
                      </w:rPr>
                      <w:t xml:space="preserve">SREB.org  |  </w:t>
                    </w:r>
                    <w:r w:rsidR="00B14142">
                      <w:rPr>
                        <w:rStyle w:val="Heading3Char"/>
                        <w:sz w:val="24"/>
                        <w:szCs w:val="24"/>
                      </w:rPr>
                      <w:t>February</w:t>
                    </w:r>
                    <w:r w:rsidRPr="00D21D96">
                      <w:rPr>
                        <w:rStyle w:val="Heading3Char"/>
                        <w:sz w:val="24"/>
                        <w:szCs w:val="24"/>
                      </w:rPr>
                      <w:t xml:space="preserve"> 202</w:t>
                    </w:r>
                    <w:r w:rsidR="00B14142">
                      <w:rPr>
                        <w:rStyle w:val="Heading3Char"/>
                        <w:sz w:val="24"/>
                        <w:szCs w:val="24"/>
                      </w:rPr>
                      <w:t>5</w:t>
                    </w:r>
                  </w:p>
                  <w:p w14:paraId="72D58324" w14:textId="77777777" w:rsidR="00637BB2" w:rsidRDefault="00637BB2" w:rsidP="00523A3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75A958" wp14:editId="0DEE380A">
          <wp:simplePos x="0" y="0"/>
          <wp:positionH relativeFrom="column">
            <wp:posOffset>-43180</wp:posOffset>
          </wp:positionH>
          <wp:positionV relativeFrom="paragraph">
            <wp:posOffset>-688683</wp:posOffset>
          </wp:positionV>
          <wp:extent cx="3311525" cy="563245"/>
          <wp:effectExtent l="0" t="0" r="3175" b="8255"/>
          <wp:wrapNone/>
          <wp:docPr id="3901459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92919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1152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6E88B69" wp14:editId="223902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55"/>
                  <wp:lineTo x="19800" y="21555"/>
                  <wp:lineTo x="19800" y="0"/>
                  <wp:lineTo x="0" y="0"/>
                </wp:wrapPolygon>
              </wp:wrapTight>
              <wp:docPr id="3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2A71A" id="Rectangle 5" o:spid="_x0000_s1026" alt="&quot;&quot;" style="position:absolute;margin-left:36pt;margin-top:36pt;width:18pt;height:10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" fillcolor="#003087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67CB" w14:textId="77777777" w:rsidR="00B14142" w:rsidRDefault="00B14142" w:rsidP="00B14142">
      <w:pPr>
        <w:spacing w:after="0" w:line="240" w:lineRule="auto"/>
      </w:pPr>
      <w:r>
        <w:separator/>
      </w:r>
    </w:p>
  </w:footnote>
  <w:footnote w:type="continuationSeparator" w:id="0">
    <w:p w14:paraId="55D82C2B" w14:textId="77777777" w:rsidR="00B14142" w:rsidRDefault="00B14142" w:rsidP="00B1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F072" w14:textId="77777777" w:rsidR="00637BB2" w:rsidRDefault="00637BB2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1B8B0" wp14:editId="45D73EF5">
              <wp:simplePos x="0" y="0"/>
              <wp:positionH relativeFrom="margin">
                <wp:posOffset>9154886</wp:posOffset>
              </wp:positionH>
              <wp:positionV relativeFrom="paragraph">
                <wp:posOffset>1620768</wp:posOffset>
              </wp:positionV>
              <wp:extent cx="2436495" cy="309245"/>
              <wp:effectExtent l="0" t="0" r="1905" b="14605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6FF5" w14:textId="77777777" w:rsidR="00637BB2" w:rsidRPr="00D21D96" w:rsidRDefault="00637BB2" w:rsidP="00D21D96">
                          <w:pPr>
                            <w:rPr>
                              <w:rStyle w:val="Heading3Ch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Heading3Char"/>
                              <w:sz w:val="24"/>
                              <w:szCs w:val="24"/>
                            </w:rPr>
                            <w:t>Higher Education Finance</w:t>
                          </w:r>
                          <w:r w:rsidRPr="00D21D96">
                            <w:rPr>
                              <w:rStyle w:val="Heading3Char"/>
                              <w:sz w:val="24"/>
                              <w:szCs w:val="24"/>
                            </w:rPr>
                            <w:t xml:space="preserve">  |  </w:t>
                          </w:r>
                          <w:r>
                            <w:rPr>
                              <w:rStyle w:val="Heading3Char"/>
                              <w:sz w:val="24"/>
                              <w:szCs w:val="24"/>
                            </w:rPr>
                            <w:t xml:space="preserve">page </w:t>
                          </w:r>
                          <w:r>
                            <w:rPr>
                              <w:rStyle w:val="Heading3Char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5CEFCCC3" w14:textId="77777777" w:rsidR="00637BB2" w:rsidRDefault="00637BB2" w:rsidP="00D21D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1B8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720.85pt;margin-top:127.6pt;width:191.8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" filled="f" stroked="f">
              <v:textbox inset="0,0,0,0">
                <w:txbxContent>
                  <w:p w14:paraId="2BCC6FF5" w14:textId="77777777" w:rsidR="00637BB2" w:rsidRPr="00D21D96" w:rsidRDefault="00637BB2" w:rsidP="00D21D96">
                    <w:pPr>
                      <w:rPr>
                        <w:rStyle w:val="Heading3Char"/>
                        <w:sz w:val="24"/>
                        <w:szCs w:val="24"/>
                      </w:rPr>
                    </w:pPr>
                    <w:r>
                      <w:rPr>
                        <w:rStyle w:val="Heading3Char"/>
                        <w:sz w:val="24"/>
                        <w:szCs w:val="24"/>
                      </w:rPr>
                      <w:t>Higher Education Finance</w:t>
                    </w:r>
                    <w:r w:rsidRPr="00D21D96">
                      <w:rPr>
                        <w:rStyle w:val="Heading3Char"/>
                        <w:sz w:val="24"/>
                        <w:szCs w:val="24"/>
                      </w:rPr>
                      <w:t xml:space="preserve">  |  </w:t>
                    </w:r>
                    <w:r>
                      <w:rPr>
                        <w:rStyle w:val="Heading3Char"/>
                        <w:sz w:val="24"/>
                        <w:szCs w:val="24"/>
                      </w:rPr>
                      <w:t xml:space="preserve">page </w:t>
                    </w:r>
                    <w:r>
                      <w:rPr>
                        <w:rStyle w:val="Heading3Char"/>
                        <w:sz w:val="24"/>
                        <w:szCs w:val="24"/>
                      </w:rPr>
                      <w:t>2</w:t>
                    </w:r>
                  </w:p>
                  <w:p w14:paraId="5CEFCCC3" w14:textId="77777777" w:rsidR="00637BB2" w:rsidRDefault="00637BB2" w:rsidP="00D21D96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1A6E"/>
    <w:multiLevelType w:val="multilevel"/>
    <w:tmpl w:val="2E66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550FE"/>
    <w:multiLevelType w:val="multilevel"/>
    <w:tmpl w:val="D058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B7A8C"/>
    <w:multiLevelType w:val="multilevel"/>
    <w:tmpl w:val="36F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7413B"/>
    <w:multiLevelType w:val="multilevel"/>
    <w:tmpl w:val="703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627EE"/>
    <w:multiLevelType w:val="multilevel"/>
    <w:tmpl w:val="324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E2AD0"/>
    <w:multiLevelType w:val="multilevel"/>
    <w:tmpl w:val="409C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A20BC"/>
    <w:multiLevelType w:val="multilevel"/>
    <w:tmpl w:val="093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E376A"/>
    <w:multiLevelType w:val="multilevel"/>
    <w:tmpl w:val="1AC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685615">
    <w:abstractNumId w:val="6"/>
  </w:num>
  <w:num w:numId="2" w16cid:durableId="2146656428">
    <w:abstractNumId w:val="3"/>
  </w:num>
  <w:num w:numId="3" w16cid:durableId="1567108875">
    <w:abstractNumId w:val="7"/>
  </w:num>
  <w:num w:numId="4" w16cid:durableId="73401167">
    <w:abstractNumId w:val="5"/>
  </w:num>
  <w:num w:numId="5" w16cid:durableId="2080395112">
    <w:abstractNumId w:val="1"/>
  </w:num>
  <w:num w:numId="6" w16cid:durableId="859275158">
    <w:abstractNumId w:val="0"/>
  </w:num>
  <w:num w:numId="7" w16cid:durableId="265819204">
    <w:abstractNumId w:val="4"/>
  </w:num>
  <w:num w:numId="8" w16cid:durableId="46053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42"/>
    <w:rsid w:val="00637BB2"/>
    <w:rsid w:val="00816F62"/>
    <w:rsid w:val="009A0A57"/>
    <w:rsid w:val="00A307E3"/>
    <w:rsid w:val="00B14142"/>
    <w:rsid w:val="00E10117"/>
    <w:rsid w:val="00E7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8213"/>
  <w15:chartTrackingRefBased/>
  <w15:docId w15:val="{B9942CA7-48BE-49F3-896E-D4116930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142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B14142"/>
  </w:style>
  <w:style w:type="paragraph" w:customStyle="1" w:styleId="Callouttext">
    <w:name w:val="Call out text"/>
    <w:basedOn w:val="Normal"/>
    <w:qFormat/>
    <w:rsid w:val="00B14142"/>
    <w:pPr>
      <w:widowControl w:val="0"/>
      <w:suppressAutoHyphens/>
      <w:autoSpaceDE w:val="0"/>
      <w:autoSpaceDN w:val="0"/>
      <w:adjustRightInd w:val="0"/>
      <w:spacing w:after="200" w:line="288" w:lineRule="auto"/>
      <w:ind w:left="720" w:right="720"/>
      <w:textAlignment w:val="center"/>
    </w:pPr>
    <w:rPr>
      <w:rFonts w:ascii="Arial" w:hAnsi="Arial" w:cs="Arial-ItalicMT"/>
      <w:i/>
      <w:iCs/>
      <w:color w:val="003087"/>
      <w:spacing w:val="-2"/>
      <w:kern w:val="0"/>
      <w14:ligatures w14:val="none"/>
    </w:rPr>
  </w:style>
  <w:style w:type="table" w:customStyle="1" w:styleId="PlainTable11">
    <w:name w:val="Plain Table 11"/>
    <w:basedOn w:val="TableNormal"/>
    <w:next w:val="PlainTable1"/>
    <w:uiPriority w:val="41"/>
    <w:rsid w:val="00B14142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002365"/>
        <w:left w:val="single" w:sz="4" w:space="0" w:color="002365"/>
        <w:bottom w:val="single" w:sz="4" w:space="0" w:color="002365"/>
        <w:right w:val="single" w:sz="4" w:space="0" w:color="002365"/>
        <w:insideH w:val="single" w:sz="4" w:space="0" w:color="002365"/>
        <w:insideV w:val="single" w:sz="4" w:space="0" w:color="002365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23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2D80"/>
      </w:tcPr>
    </w:tblStylePr>
    <w:tblStylePr w:type="band1Horz">
      <w:tblPr/>
      <w:tcPr>
        <w:shd w:val="clear" w:color="auto" w:fill="002D80"/>
      </w:tcPr>
    </w:tblStylePr>
  </w:style>
  <w:style w:type="paragraph" w:customStyle="1" w:styleId="Boxhead">
    <w:name w:val="Box head"/>
    <w:qFormat/>
    <w:rsid w:val="00B14142"/>
    <w:pPr>
      <w:spacing w:after="80" w:line="288" w:lineRule="auto"/>
    </w:pPr>
    <w:rPr>
      <w:rFonts w:ascii="Arial" w:hAnsi="Arial" w:cs="Arial"/>
      <w:b/>
      <w:bCs/>
      <w:color w:val="003087"/>
      <w:spacing w:val="-2"/>
      <w:kern w:val="0"/>
      <w:sz w:val="28"/>
      <w:szCs w:val="28"/>
      <w14:ligatures w14:val="none"/>
    </w:rPr>
  </w:style>
  <w:style w:type="paragraph" w:customStyle="1" w:styleId="Boxtext">
    <w:name w:val="Box text"/>
    <w:basedOn w:val="Normal"/>
    <w:qFormat/>
    <w:rsid w:val="00B14142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pacing w:val="-2"/>
      <w:kern w:val="0"/>
      <w:sz w:val="22"/>
      <w:szCs w:val="22"/>
      <w14:ligatures w14:val="none"/>
    </w:rPr>
  </w:style>
  <w:style w:type="table" w:styleId="PlainTable1">
    <w:name w:val="Plain Table 1"/>
    <w:basedOn w:val="TableNormal"/>
    <w:uiPriority w:val="41"/>
    <w:rsid w:val="00B141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1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Harrison</dc:creator>
  <cp:keywords/>
  <dc:description/>
  <cp:lastModifiedBy>Tiffany Harrison</cp:lastModifiedBy>
  <cp:revision>1</cp:revision>
  <dcterms:created xsi:type="dcterms:W3CDTF">2025-01-31T15:14:00Z</dcterms:created>
  <dcterms:modified xsi:type="dcterms:W3CDTF">2025-01-31T15:48:00Z</dcterms:modified>
</cp:coreProperties>
</file>